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rPr>
          <w:rFonts w:ascii="Times New Roman" w:hAnsi="Times New Roman" w:eastAsia="黑体" w:cs="Times New Roman"/>
          <w:color w:val="000000" w:themeColor="text1"/>
          <w:sz w:val="30"/>
          <w:szCs w:val="30"/>
        </w:rPr>
      </w:pPr>
      <w:r>
        <w:rPr>
          <w:rFonts w:ascii="Times New Roman" w:hAnsi="Times New Roman" w:eastAsia="黑体" w:cs="Times New Roman"/>
          <w:color w:val="000000" w:themeColor="text1"/>
          <w:sz w:val="30"/>
          <w:szCs w:val="30"/>
        </w:rPr>
        <w:t>附件1</w:t>
      </w:r>
    </w:p>
    <w:p>
      <w:pPr>
        <w:spacing w:line="720" w:lineRule="exact"/>
        <w:jc w:val="center"/>
        <w:rPr>
          <w:rFonts w:ascii="Times New Roman" w:hAnsi="Times New Roman" w:eastAsia="方正小标宋简体" w:cs="Times New Roman"/>
          <w:color w:val="000000" w:themeColor="text1"/>
          <w:sz w:val="40"/>
          <w:szCs w:val="40"/>
        </w:rPr>
      </w:pPr>
      <w:r>
        <w:rPr>
          <w:rFonts w:ascii="Times New Roman" w:hAnsi="Times New Roman" w:eastAsia="方正小标宋简体" w:cs="Times New Roman"/>
          <w:color w:val="000000" w:themeColor="text1"/>
          <w:sz w:val="40"/>
          <w:szCs w:val="40"/>
        </w:rPr>
        <w:t>课程表（公共课）</w:t>
      </w: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357"/>
        <w:gridCol w:w="3603"/>
        <w:gridCol w:w="806"/>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1211" w:type="dxa"/>
            <w:shd w:val="clear" w:color="000000" w:fill="FFFFFF"/>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类 别</w:t>
            </w:r>
          </w:p>
        </w:tc>
        <w:tc>
          <w:tcPr>
            <w:tcW w:w="2357" w:type="dxa"/>
            <w:shd w:val="clear" w:color="000000" w:fill="FFFFFF"/>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原编号</w:t>
            </w:r>
          </w:p>
        </w:tc>
        <w:tc>
          <w:tcPr>
            <w:tcW w:w="3603" w:type="dxa"/>
            <w:shd w:val="clear" w:color="000000" w:fill="FFFFFF"/>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名</w:t>
            </w:r>
            <w:r>
              <w:rPr>
                <w:rFonts w:hint="eastAsia" w:ascii="Times New Roman" w:hAnsi="Times New Roman" w:eastAsia="黑体" w:cs="Times New Roman"/>
                <w:color w:val="000000" w:themeColor="text1"/>
                <w:kern w:val="0"/>
                <w:sz w:val="28"/>
                <w:szCs w:val="28"/>
              </w:rPr>
              <w:t>　　</w:t>
            </w:r>
            <w:r>
              <w:rPr>
                <w:rFonts w:ascii="Times New Roman" w:hAnsi="Times New Roman" w:eastAsia="黑体" w:cs="Times New Roman"/>
                <w:color w:val="000000" w:themeColor="text1"/>
                <w:kern w:val="0"/>
                <w:sz w:val="28"/>
                <w:szCs w:val="28"/>
              </w:rPr>
              <w:t>称</w:t>
            </w:r>
          </w:p>
        </w:tc>
        <w:tc>
          <w:tcPr>
            <w:tcW w:w="806" w:type="dxa"/>
            <w:shd w:val="clear" w:color="000000" w:fill="FFFFFF"/>
            <w:noWrap/>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学时</w:t>
            </w:r>
          </w:p>
        </w:tc>
        <w:tc>
          <w:tcPr>
            <w:tcW w:w="1122" w:type="dxa"/>
            <w:shd w:val="clear" w:color="000000" w:fill="FFFFFF"/>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讲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restart"/>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必修课</w:t>
            </w: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岗位职业道德</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李永军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《建筑法》重要条款解读与常见风险防范</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《安全生产法》要点解读（上）</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《安全生产法》要点解读（下）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《环境保护法》要点解读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《建设工程质量管理条例》要点解读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《建设工程安全生产管理条例》要点解读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《环境噪声污染防治法》要点解读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ZH-2021—B-009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建设项目工程总承包管理规范</w:t>
            </w:r>
          </w:p>
        </w:tc>
        <w:tc>
          <w:tcPr>
            <w:tcW w:w="806"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工程总承包示范文本与标准文本对比解读及适用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施工项目招标法律责任理解与防范</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住建部绿色科技示范工程（环保、管理、创新）</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刘新玉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住建委绿色施工示范工程（节地、节能、人力）</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安兰慧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住建部绿色科技示范工程（节材、节水部分）</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陈　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智慧工地—安全管理防控系统研究与应用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金永斌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建筑工程资料信息化管理技术研究与应用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李高彦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restart"/>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必修课</w:t>
            </w: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AI加持—工地人工智能场景研究与应用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金永斌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工具式定型化周转临时设施技术与应用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冯立雷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ZH-2021—B-019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“两山”医院高效建造关键技术</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余地华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BIM场景化施工准备阶段应用场景研究与应用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蓝胜波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BIM场景化施工过程管理应用场景研究与应用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蓝胜波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脚手架安全管理</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杨新民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工程建设全过程造价管理（上）</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宋晓蓉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工程建设全过程造价管理（下）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宋晓蓉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施工合同工期管理核心知识与纠纷案例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施工合同质量管理核心知识与纠纷案例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施工成本计划编制核心知识点与案例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工程索赔核心知识点与案例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ZH-2021—B-029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工程价款结算核心知识点与案例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ZH-2021—B-030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施工合同垫资核心知识与纠纷案例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restart"/>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选修课</w:t>
            </w: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工匠精神</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李永军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注册建造师法律责任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陈南山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住建部《绿色建造技术导则（试行）》解读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黄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《民法典合同篇》条款理解与应用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restart"/>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选修课</w:t>
            </w: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《固体废物污染环境防治法》要点解读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《建设工程勘察设计管理条例》要点解读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《生产安全事故报告和调查处理条例》要点解读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毕伟民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最高人民法院关于审理建设工程施工合同纠纷案件适用法律问题的解释法释</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赵　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ZH-2021—X-009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关于建设工程中的劳动争议</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赵　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工程总承包合同常见法律问题与风险防范</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常见施工项目法律纠纷问题与风险防范</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谭敬慧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国内外绿色建造发展现状研究</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黄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基于智能硬件的施工现场人员全方位管理</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金永斌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全过程工程咨询的认识和实践（上）</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杨卫东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全过程工程咨询的认识和实践（下）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杨卫东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进度计划编制与应用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BIM技术原理与应用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张师定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BIM神经网络技术</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张师定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ZH-2021—X-019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无外接电源箱涵道路智能化自动排水系统应用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王如恒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建筑废弃物源头减量化关键技术</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寇世聪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ZH-2021—X-021</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智慧工地管理系统研究与应用</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王如恒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ZH-2021—X-022</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SPCS结构创新发展与实践</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马荣全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restart"/>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选修课</w:t>
            </w: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ZH-2021—X-023</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建设工程施工合同价款风险管控</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ZH-2021—X-024</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国内外工程报价程序解读</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ZH-2021—X-025</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工程量清单计价核心知识与案例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ZH-2021—X-026</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投标报价的编制与分析</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ZH-2021—X-027</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工程项目投标报价策略与技巧</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ZH-2021—X-028</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工程变更核心知识点与案例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刘志彤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ZH-2021—X-029</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增值税核心知识与抵扣案例（上）</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vMerge w:val="continue"/>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p>
        </w:tc>
        <w:tc>
          <w:tcPr>
            <w:tcW w:w="2357"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ZH-2021—X-030</w:t>
            </w:r>
          </w:p>
        </w:tc>
        <w:tc>
          <w:tcPr>
            <w:tcW w:w="3603" w:type="dxa"/>
            <w:shd w:val="clear" w:color="000000" w:fill="FFFFFF"/>
            <w:vAlign w:val="center"/>
          </w:tcPr>
          <w:p>
            <w:pPr>
              <w:widowControl/>
              <w:jc w:val="left"/>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增值税核心知识与抵扣案例（下）</w:t>
            </w:r>
          </w:p>
        </w:tc>
        <w:tc>
          <w:tcPr>
            <w:tcW w:w="806"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22" w:type="dxa"/>
            <w:shd w:val="clear" w:color="000000" w:fill="FFFFFF"/>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吴新华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11" w:type="dxa"/>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合计</w:t>
            </w:r>
          </w:p>
        </w:tc>
        <w:tc>
          <w:tcPr>
            <w:tcW w:w="7888" w:type="dxa"/>
            <w:gridSpan w:val="4"/>
            <w:shd w:val="clear" w:color="000000" w:fill="FFFFFF"/>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60课时（其中：必修课30课时，选修课30课时）</w:t>
            </w:r>
          </w:p>
        </w:tc>
      </w:tr>
    </w:tbl>
    <w:p>
      <w:pPr>
        <w:rPr>
          <w:rFonts w:ascii="Times New Roman" w:hAnsi="Times New Roman" w:eastAsia="方正小标宋简体" w:cs="Times New Roman"/>
          <w:color w:val="000000" w:themeColor="text1"/>
          <w:sz w:val="44"/>
          <w:szCs w:val="44"/>
        </w:rPr>
      </w:pPr>
      <w:r>
        <w:rPr>
          <w:rFonts w:ascii="Times New Roman" w:hAnsi="Times New Roman" w:eastAsia="方正小标宋简体" w:cs="Times New Roman"/>
          <w:color w:val="000000" w:themeColor="text1"/>
          <w:sz w:val="44"/>
          <w:szCs w:val="44"/>
        </w:rPr>
        <w:br w:type="page"/>
      </w:r>
    </w:p>
    <w:p>
      <w:pPr>
        <w:jc w:val="center"/>
        <w:rPr>
          <w:rFonts w:ascii="Times New Roman" w:hAnsi="Times New Roman" w:eastAsia="方正小标宋简体" w:cs="Times New Roman"/>
          <w:color w:val="000000" w:themeColor="text1"/>
          <w:sz w:val="40"/>
          <w:szCs w:val="40"/>
        </w:rPr>
      </w:pPr>
      <w:r>
        <w:rPr>
          <w:rFonts w:ascii="Times New Roman" w:hAnsi="Times New Roman" w:eastAsia="方正小标宋简体" w:cs="Times New Roman"/>
          <w:color w:val="000000" w:themeColor="text1"/>
          <w:sz w:val="40"/>
          <w:szCs w:val="40"/>
        </w:rPr>
        <w:t>课程表（建筑工程专业课）</w:t>
      </w:r>
    </w:p>
    <w:tbl>
      <w:tblPr>
        <w:tblStyle w:val="6"/>
        <w:tblW w:w="9105" w:type="dxa"/>
        <w:jc w:val="center"/>
        <w:tblLayout w:type="fixed"/>
        <w:tblCellMar>
          <w:top w:w="0" w:type="dxa"/>
          <w:left w:w="108" w:type="dxa"/>
          <w:bottom w:w="0" w:type="dxa"/>
          <w:right w:w="108" w:type="dxa"/>
        </w:tblCellMar>
      </w:tblPr>
      <w:tblGrid>
        <w:gridCol w:w="959"/>
        <w:gridCol w:w="1814"/>
        <w:gridCol w:w="4366"/>
        <w:gridCol w:w="788"/>
        <w:gridCol w:w="1178"/>
      </w:tblGrid>
      <w:tr>
        <w:tblPrEx>
          <w:tblCellMar>
            <w:top w:w="0" w:type="dxa"/>
            <w:left w:w="108" w:type="dxa"/>
            <w:bottom w:w="0" w:type="dxa"/>
            <w:right w:w="108" w:type="dxa"/>
          </w:tblCellMar>
        </w:tblPrEx>
        <w:trPr>
          <w:trHeight w:val="658" w:hRule="atLeast"/>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黑体" w:eastAsia="黑体" w:cs="Times New Roman"/>
                <w:color w:val="000000" w:themeColor="text1"/>
                <w:kern w:val="0"/>
                <w:sz w:val="28"/>
                <w:szCs w:val="28"/>
              </w:rPr>
              <w:t>类</w:t>
            </w:r>
            <w:r>
              <w:rPr>
                <w:rFonts w:ascii="Times New Roman" w:hAnsi="Times New Roman" w:eastAsia="黑体" w:cs="Times New Roman"/>
                <w:color w:val="000000" w:themeColor="text1"/>
                <w:kern w:val="0"/>
                <w:sz w:val="28"/>
                <w:szCs w:val="28"/>
              </w:rPr>
              <w:t xml:space="preserve"> </w:t>
            </w:r>
            <w:r>
              <w:rPr>
                <w:rFonts w:ascii="Times New Roman" w:hAnsi="黑体" w:eastAsia="黑体" w:cs="Times New Roman"/>
                <w:color w:val="000000" w:themeColor="text1"/>
                <w:kern w:val="0"/>
                <w:sz w:val="28"/>
                <w:szCs w:val="28"/>
              </w:rPr>
              <w:t>别</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黑体" w:eastAsia="黑体" w:cs="Times New Roman"/>
                <w:color w:val="000000" w:themeColor="text1"/>
                <w:kern w:val="0"/>
                <w:sz w:val="28"/>
                <w:szCs w:val="28"/>
              </w:rPr>
              <w:t>原编号</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黑体" w:eastAsia="黑体" w:cs="Times New Roman"/>
                <w:color w:val="000000" w:themeColor="text1"/>
                <w:kern w:val="0"/>
                <w:sz w:val="28"/>
                <w:szCs w:val="28"/>
              </w:rPr>
              <w:t>名</w:t>
            </w:r>
            <w:r>
              <w:rPr>
                <w:rFonts w:hint="eastAsia" w:ascii="Times New Roman" w:hAnsi="黑体" w:eastAsia="黑体" w:cs="Times New Roman"/>
                <w:color w:val="000000" w:themeColor="text1"/>
                <w:kern w:val="0"/>
                <w:sz w:val="28"/>
                <w:szCs w:val="28"/>
              </w:rPr>
              <w:t>　　</w:t>
            </w:r>
            <w:r>
              <w:rPr>
                <w:rFonts w:ascii="Times New Roman" w:hAnsi="黑体" w:eastAsia="黑体" w:cs="Times New Roman"/>
                <w:color w:val="000000" w:themeColor="text1"/>
                <w:kern w:val="0"/>
                <w:sz w:val="28"/>
                <w:szCs w:val="28"/>
              </w:rPr>
              <w:t>称</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黑体" w:eastAsia="黑体" w:cs="Times New Roman"/>
                <w:color w:val="000000" w:themeColor="text1"/>
                <w:kern w:val="0"/>
                <w:sz w:val="28"/>
                <w:szCs w:val="28"/>
              </w:rPr>
              <w:t>学时</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color w:val="000000" w:themeColor="text1"/>
                <w:kern w:val="0"/>
                <w:sz w:val="28"/>
                <w:szCs w:val="28"/>
              </w:rPr>
            </w:pPr>
            <w:r>
              <w:rPr>
                <w:rFonts w:ascii="Times New Roman" w:hAnsi="黑体" w:eastAsia="黑体" w:cs="Times New Roman"/>
                <w:color w:val="000000" w:themeColor="text1"/>
                <w:kern w:val="0"/>
                <w:sz w:val="28"/>
                <w:szCs w:val="28"/>
              </w:rPr>
              <w:t>讲</w:t>
            </w:r>
            <w:r>
              <w:rPr>
                <w:rFonts w:hint="eastAsia" w:ascii="Times New Roman" w:hAnsi="黑体" w:eastAsia="黑体" w:cs="Times New Roman"/>
                <w:color w:val="000000" w:themeColor="text1"/>
                <w:kern w:val="0"/>
                <w:sz w:val="28"/>
                <w:szCs w:val="28"/>
              </w:rPr>
              <w:t>　</w:t>
            </w:r>
            <w:r>
              <w:rPr>
                <w:rFonts w:ascii="Times New Roman" w:hAnsi="黑体" w:eastAsia="黑体" w:cs="Times New Roman"/>
                <w:color w:val="000000" w:themeColor="text1"/>
                <w:kern w:val="0"/>
                <w:sz w:val="28"/>
                <w:szCs w:val="28"/>
              </w:rPr>
              <w:t>师</w:t>
            </w:r>
          </w:p>
        </w:tc>
      </w:tr>
      <w:tr>
        <w:tblPrEx>
          <w:tblCellMar>
            <w:top w:w="0" w:type="dxa"/>
            <w:left w:w="108" w:type="dxa"/>
            <w:bottom w:w="0" w:type="dxa"/>
            <w:right w:w="108" w:type="dxa"/>
          </w:tblCellMar>
        </w:tblPrEx>
        <w:trPr>
          <w:trHeight w:val="660" w:hRule="atLeast"/>
          <w:jc w:val="center"/>
        </w:trPr>
        <w:tc>
          <w:tcPr>
            <w:tcW w:w="9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必修课</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JZ-2021-B-001</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《塔式起重机附着安全技术规程》解读和实际案例计算解析</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宋</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昂</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JZ-2021-B-002</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《建筑施工用附着式升降作业安全防护平台》行业标准解读及事故案例（上）</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沈</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阳</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JZ-2021-B-003</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《建筑施工用附着式升降作业安全防护平台》行业标准解读及事故案例（下）</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沈</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阳</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JZ-2021-B-004</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《装配式混凝土建筑技术标准》解读</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田可耕</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JZ-2021-B-005</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《装配式钢结构建筑技术标准》解读</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田可耕</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JZ-2021-B-006</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长螺旋钻孔压灌桩技术与应用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马书杰</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JZ-2021-B-007</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超深基坑支护综合技术与应用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王宏业</w:t>
            </w:r>
          </w:p>
        </w:tc>
      </w:tr>
      <w:tr>
        <w:tblPrEx>
          <w:tblCellMar>
            <w:top w:w="0" w:type="dxa"/>
            <w:left w:w="108" w:type="dxa"/>
            <w:bottom w:w="0" w:type="dxa"/>
            <w:right w:w="108" w:type="dxa"/>
          </w:tblCellMar>
        </w:tblPrEx>
        <w:trPr>
          <w:trHeight w:val="668"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JZ-2021-B-008</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深基坑施工监测技术与应用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刘卫未</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JZ-2021-B-009</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超高泵送混凝土技术与应用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翁邦正</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JZ-2021-B-010</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大型内爬塔吊安装、爬升、拆除施工技术在中国尊大厦项目的应用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蒋</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凯</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JZ-2021-B-011</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装配式混凝土剪力墙结构技术与应用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贝</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JZ-2021-B-012</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装配式混凝土框架结构技术与应用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尹</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硕</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JZ-2021-B-013</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钢筋套筒灌浆连接技术与应用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吕雪源</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JZ-2021-B-014</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大型钢结构整体提升施工技术与应用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段留军</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JZ-2021-B-015</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预制叠合剪力墙结构技术与应用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敏</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JZ-2021-B-016</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异形建筑幕墙工程</w:t>
            </w:r>
            <w:r>
              <w:rPr>
                <w:rFonts w:ascii="Times New Roman" w:hAnsi="Times New Roman" w:eastAsia="仿宋_GB2312" w:cs="Times New Roman"/>
                <w:color w:val="000000" w:themeColor="text1"/>
                <w:kern w:val="0"/>
                <w:sz w:val="24"/>
                <w:szCs w:val="24"/>
              </w:rPr>
              <w:t>BIM</w:t>
            </w:r>
            <w:r>
              <w:rPr>
                <w:rFonts w:ascii="Times New Roman" w:hAnsi="仿宋_GB2312" w:eastAsia="仿宋_GB2312" w:cs="Times New Roman"/>
                <w:color w:val="000000" w:themeColor="text1"/>
                <w:kern w:val="0"/>
                <w:sz w:val="24"/>
                <w:szCs w:val="24"/>
              </w:rPr>
              <w:t>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姜桃红</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JZ-2021-B-017</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大型钢结构屋盖曲面滑移施工关键技术与应用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刘新乐</w:t>
            </w:r>
          </w:p>
        </w:tc>
      </w:tr>
      <w:tr>
        <w:tblPrEx>
          <w:tblCellMar>
            <w:top w:w="0" w:type="dxa"/>
            <w:left w:w="108" w:type="dxa"/>
            <w:bottom w:w="0" w:type="dxa"/>
            <w:right w:w="108" w:type="dxa"/>
          </w:tblCellMar>
        </w:tblPrEx>
        <w:trPr>
          <w:trHeight w:val="660" w:hRule="atLeast"/>
          <w:jc w:val="center"/>
        </w:trPr>
        <w:tc>
          <w:tcPr>
            <w:tcW w:w="9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必修课</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JZ-2021-B-018</w:t>
            </w:r>
          </w:p>
        </w:tc>
        <w:tc>
          <w:tcPr>
            <w:tcW w:w="4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混凝土桩复合地基技术与应用</w:t>
            </w:r>
          </w:p>
        </w:tc>
        <w:tc>
          <w:tcPr>
            <w:tcW w:w="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张治华</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JZ-2021-B-019</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组合铝合金模板施工技术与应用</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徐</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平</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JZ-2021-B-020</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w:t>
            </w:r>
            <w:r>
              <w:rPr>
                <w:rFonts w:ascii="Times New Roman" w:hAnsi="仿宋_GB2312" w:eastAsia="仿宋_GB2312" w:cs="Times New Roman"/>
                <w:color w:val="000000" w:themeColor="text1"/>
                <w:kern w:val="0"/>
                <w:sz w:val="24"/>
                <w:szCs w:val="24"/>
              </w:rPr>
              <w:t>技术在科研业务用房项目中的应用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邹</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祥</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JZ-2021-B-021</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清水混凝土技术与应用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吴亚东</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JZ-2021-B-022</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武清白金级超低能耗建筑技术与应用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鲍宇清</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JZ-2021-B-023</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高烈度区超高层建筑关键技术与应用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黄学红</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JZ-2021-B-024</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建筑工程施工现场标准化管理典型案例</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冯立雷</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JZ-2021-B-025</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绿色施工科技示范工程（国贸</w:t>
            </w:r>
            <w:r>
              <w:rPr>
                <w:rFonts w:ascii="Times New Roman" w:hAnsi="Times New Roman" w:eastAsia="仿宋_GB2312" w:cs="Times New Roman"/>
                <w:color w:val="000000" w:themeColor="text1"/>
                <w:kern w:val="0"/>
                <w:sz w:val="24"/>
                <w:szCs w:val="24"/>
              </w:rPr>
              <w:t>3B</w:t>
            </w:r>
            <w:r>
              <w:rPr>
                <w:rFonts w:ascii="Times New Roman" w:hAnsi="仿宋_GB2312" w:eastAsia="仿宋_GB2312" w:cs="Times New Roman"/>
                <w:color w:val="000000" w:themeColor="text1"/>
                <w:kern w:val="0"/>
                <w:sz w:val="24"/>
                <w:szCs w:val="24"/>
              </w:rPr>
              <w:t>）典型案例</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刘卫未</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JZ-2021-B-026</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w:t>
            </w:r>
            <w:r>
              <w:rPr>
                <w:rFonts w:ascii="Times New Roman" w:hAnsi="仿宋_GB2312" w:eastAsia="仿宋_GB2312" w:cs="Times New Roman"/>
                <w:color w:val="000000" w:themeColor="text1"/>
                <w:kern w:val="0"/>
                <w:sz w:val="24"/>
                <w:szCs w:val="24"/>
              </w:rPr>
              <w:t>技术在南航项目施工过程中的应用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焦中岭</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JZ-2021-B-027</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建设工程绿色施工与安全监控信息化平台的研发与应用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韩</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锋</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JZ-2021-B-028</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地下防水工程常见质量问题与防治</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JZ-2021-B-029</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地基基础及土方回填工程常见质量问题与防治</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JZ-2021-B-030</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模板工程常见质量问题防治与铝合金模板的应用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选修课</w:t>
            </w: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JZ-2021-X-001</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《建设工程施工合同》（示范文本）</w:t>
            </w:r>
            <w:r>
              <w:rPr>
                <w:rFonts w:ascii="Times New Roman" w:hAnsi="Times New Roman" w:eastAsia="仿宋_GB2312" w:cs="Times New Roman"/>
                <w:color w:val="000000" w:themeColor="text1"/>
                <w:kern w:val="0"/>
                <w:sz w:val="24"/>
                <w:szCs w:val="24"/>
              </w:rPr>
              <w:t xml:space="preserve"> </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吴新华</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JZ-2021-X-002</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《建筑施工承插型盘扣式钢管支架安全技术规程》</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沈</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阳</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JZ-2021-X-003</w:t>
            </w:r>
          </w:p>
        </w:tc>
        <w:tc>
          <w:tcPr>
            <w:tcW w:w="4366"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《建筑工程施工质量评价标准》</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侯海芳</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JZ-2021-X-004</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《装配式建筑评价标准》解读（上）</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田可耕</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JZ-2021-X-005</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《装配式建筑评价标准》解读（下）</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田可耕</w:t>
            </w:r>
          </w:p>
        </w:tc>
      </w:tr>
      <w:tr>
        <w:tblPrEx>
          <w:tblCellMar>
            <w:top w:w="0" w:type="dxa"/>
            <w:left w:w="108" w:type="dxa"/>
            <w:bottom w:w="0" w:type="dxa"/>
            <w:right w:w="108" w:type="dxa"/>
          </w:tblCellMar>
        </w:tblPrEx>
        <w:trPr>
          <w:trHeight w:val="660" w:hRule="atLeast"/>
          <w:jc w:val="center"/>
        </w:trPr>
        <w:tc>
          <w:tcPr>
            <w:tcW w:w="9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选修课</w:t>
            </w: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JZ-2021-X-006</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灌注桩后压浆技术与应用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任耀辉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JZ-2021-X-007</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水气分离式真空预压施工技术与应用</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李坡</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JZ-2021-X-008</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地下连续墙施工技术与应用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刘卫未</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JZ-2021-X-009</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自密实混凝土技术与应用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李静</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JZ-2021-X-010</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全钢型附着式升降脚手架设计及应用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李改华</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JZ-2021-X-011</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高强钢筋应用技术</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傅志华</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JZ-2021-X-012</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钢结构深化设计和</w:t>
            </w:r>
            <w:r>
              <w:rPr>
                <w:rFonts w:ascii="Times New Roman" w:hAnsi="Times New Roman" w:eastAsia="仿宋_GB2312" w:cs="Times New Roman"/>
                <w:color w:val="000000" w:themeColor="text1"/>
                <w:kern w:val="0"/>
                <w:sz w:val="24"/>
                <w:szCs w:val="24"/>
              </w:rPr>
              <w:t>BIM</w:t>
            </w:r>
            <w:r>
              <w:rPr>
                <w:rFonts w:ascii="Times New Roman" w:hAnsi="仿宋_GB2312" w:eastAsia="仿宋_GB2312" w:cs="Times New Roman"/>
                <w:color w:val="000000" w:themeColor="text1"/>
                <w:kern w:val="0"/>
                <w:sz w:val="24"/>
                <w:szCs w:val="24"/>
              </w:rPr>
              <w:t>技术的应用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陈峰</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JZ-2021-X-013</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超高层建筑测量控制技术解析</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邢道坤</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JZ-2021-X-014</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屋面工程施工技术与应用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王宏业</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JZ-2021-X-015</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金属屋面防风揭防暴雨技术与应用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韩锋</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JZ-2021-X-016</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大型厂房压型钢板金属屋面安装技术与应用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高博</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JZ-2021-X-017</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超高层建筑施工集成平台技术发展与创新实践</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王磊</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JZ-2021-X-018</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超大面积耐磨承重地面施工技术与应用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谢婧</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JZ-2021-X-019</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高端文旅项目塑石假山施工技术与应用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杨瑞增</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JZ-2021-X-020</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随州南站大面积单层</w:t>
            </w:r>
            <w:r>
              <w:rPr>
                <w:rFonts w:ascii="Times New Roman" w:hAnsi="Times New Roman" w:eastAsia="仿宋_GB2312" w:cs="Times New Roman"/>
                <w:color w:val="000000" w:themeColor="text1"/>
                <w:kern w:val="0"/>
                <w:sz w:val="24"/>
                <w:szCs w:val="24"/>
              </w:rPr>
              <w:t>ETFE</w:t>
            </w:r>
            <w:r>
              <w:rPr>
                <w:rFonts w:ascii="Times New Roman" w:hAnsi="仿宋_GB2312" w:eastAsia="仿宋_GB2312" w:cs="Times New Roman"/>
                <w:color w:val="000000" w:themeColor="text1"/>
                <w:kern w:val="0"/>
                <w:sz w:val="24"/>
                <w:szCs w:val="24"/>
              </w:rPr>
              <w:t>索膜结构施工技术与应用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魏文龙</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JZ-2021-X-021</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外墙附着整体提升外架</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JZ-2021-X-022</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内浇外挂装配整体式建筑综合施工技术与应用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吴自全</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JZ-2021-X-023</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铁路四电装配式冷弯薄壁型钢房屋技术与应用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李长青</w:t>
            </w:r>
          </w:p>
        </w:tc>
      </w:tr>
      <w:tr>
        <w:tblPrEx>
          <w:tblCellMar>
            <w:top w:w="0" w:type="dxa"/>
            <w:left w:w="108" w:type="dxa"/>
            <w:bottom w:w="0" w:type="dxa"/>
            <w:right w:w="108" w:type="dxa"/>
          </w:tblCellMar>
        </w:tblPrEx>
        <w:trPr>
          <w:trHeight w:val="660" w:hRule="atLeast"/>
          <w:jc w:val="center"/>
        </w:trPr>
        <w:tc>
          <w:tcPr>
            <w:tcW w:w="959"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选修课</w:t>
            </w: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JZ-2021-X-024</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大型高铁站房设计、建造、安全控制及健康监测成套技术及应用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韩锋</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JZ-2021-X-025</w:t>
            </w:r>
          </w:p>
        </w:tc>
        <w:tc>
          <w:tcPr>
            <w:tcW w:w="43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BIM</w:t>
            </w:r>
            <w:r>
              <w:rPr>
                <w:rFonts w:ascii="Times New Roman" w:hAnsi="仿宋_GB2312" w:eastAsia="仿宋_GB2312" w:cs="Times New Roman"/>
                <w:color w:val="000000" w:themeColor="text1"/>
                <w:kern w:val="0"/>
                <w:sz w:val="24"/>
                <w:szCs w:val="24"/>
              </w:rPr>
              <w:t>技术与应用</w:t>
            </w:r>
          </w:p>
        </w:tc>
        <w:tc>
          <w:tcPr>
            <w:tcW w:w="7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程淑珍</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JZ-2021-X-026</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钢筋混凝土结构工程常见质量问题与防治</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JZ-2021-X-027</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砌体工程常见质量问题与防治</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JZ-2021-X-028</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屋面工程常见质量问题与防治</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王巧莉</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JZ-2021-X-029</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生物质锅炉与太阳能技术在工程中的应用</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常</w:t>
            </w:r>
            <w:r>
              <w:rPr>
                <w:rFonts w:hint="eastAsia" w:ascii="Times New Roman" w:hAnsi="仿宋_GB2312" w:eastAsia="仿宋_GB2312" w:cs="Times New Roman"/>
                <w:color w:val="000000" w:themeColor="text1"/>
                <w:kern w:val="0"/>
                <w:sz w:val="24"/>
                <w:szCs w:val="24"/>
              </w:rPr>
              <w:t>　</w:t>
            </w:r>
            <w:r>
              <w:rPr>
                <w:rFonts w:ascii="Times New Roman" w:hAnsi="仿宋_GB2312" w:eastAsia="仿宋_GB2312" w:cs="Times New Roman"/>
                <w:color w:val="000000" w:themeColor="text1"/>
                <w:kern w:val="0"/>
                <w:sz w:val="24"/>
                <w:szCs w:val="24"/>
              </w:rPr>
              <w:t>燕</w:t>
            </w:r>
          </w:p>
        </w:tc>
      </w:tr>
      <w:tr>
        <w:tblPrEx>
          <w:tblCellMar>
            <w:top w:w="0" w:type="dxa"/>
            <w:left w:w="108" w:type="dxa"/>
            <w:bottom w:w="0" w:type="dxa"/>
            <w:right w:w="108" w:type="dxa"/>
          </w:tblCellMar>
        </w:tblPrEx>
        <w:trPr>
          <w:trHeight w:val="660" w:hRule="atLeast"/>
          <w:jc w:val="center"/>
        </w:trPr>
        <w:tc>
          <w:tcPr>
            <w:tcW w:w="959"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p>
        </w:tc>
        <w:tc>
          <w:tcPr>
            <w:tcW w:w="1814"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JZ-2021-X-030</w:t>
            </w:r>
          </w:p>
        </w:tc>
        <w:tc>
          <w:tcPr>
            <w:tcW w:w="4366"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建筑施工脚手架事故案例</w:t>
            </w:r>
          </w:p>
        </w:tc>
        <w:tc>
          <w:tcPr>
            <w:tcW w:w="7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1</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杨新民</w:t>
            </w:r>
          </w:p>
        </w:tc>
      </w:tr>
      <w:tr>
        <w:tblPrEx>
          <w:tblCellMar>
            <w:top w:w="0" w:type="dxa"/>
            <w:left w:w="108" w:type="dxa"/>
            <w:bottom w:w="0" w:type="dxa"/>
            <w:right w:w="108" w:type="dxa"/>
          </w:tblCellMar>
        </w:tblPrEx>
        <w:trPr>
          <w:trHeight w:val="66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仿宋_GB2312" w:eastAsia="仿宋_GB2312" w:cs="Times New Roman"/>
                <w:color w:val="000000" w:themeColor="text1"/>
                <w:kern w:val="0"/>
                <w:sz w:val="24"/>
                <w:szCs w:val="24"/>
              </w:rPr>
              <w:t>合计</w:t>
            </w:r>
          </w:p>
        </w:tc>
        <w:tc>
          <w:tcPr>
            <w:tcW w:w="81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themeColor="text1"/>
                <w:kern w:val="0"/>
                <w:sz w:val="24"/>
                <w:szCs w:val="24"/>
              </w:rPr>
            </w:pPr>
            <w:r>
              <w:rPr>
                <w:rFonts w:ascii="Times New Roman" w:hAnsi="Times New Roman" w:eastAsia="仿宋_GB2312" w:cs="Times New Roman"/>
                <w:color w:val="000000" w:themeColor="text1"/>
                <w:kern w:val="0"/>
                <w:sz w:val="24"/>
                <w:szCs w:val="24"/>
              </w:rPr>
              <w:t>60</w:t>
            </w:r>
            <w:r>
              <w:rPr>
                <w:rFonts w:ascii="Times New Roman" w:hAnsi="仿宋_GB2312" w:eastAsia="仿宋_GB2312" w:cs="Times New Roman"/>
                <w:color w:val="000000" w:themeColor="text1"/>
                <w:kern w:val="0"/>
                <w:sz w:val="24"/>
                <w:szCs w:val="24"/>
              </w:rPr>
              <w:t>课时（其中：必修课</w:t>
            </w:r>
            <w:r>
              <w:rPr>
                <w:rFonts w:ascii="Times New Roman" w:hAnsi="Times New Roman" w:eastAsia="仿宋_GB2312" w:cs="Times New Roman"/>
                <w:color w:val="000000" w:themeColor="text1"/>
                <w:kern w:val="0"/>
                <w:sz w:val="24"/>
                <w:szCs w:val="24"/>
              </w:rPr>
              <w:t>30</w:t>
            </w:r>
            <w:r>
              <w:rPr>
                <w:rFonts w:ascii="Times New Roman" w:hAnsi="仿宋_GB2312" w:eastAsia="仿宋_GB2312" w:cs="Times New Roman"/>
                <w:color w:val="000000" w:themeColor="text1"/>
                <w:kern w:val="0"/>
                <w:sz w:val="24"/>
                <w:szCs w:val="24"/>
              </w:rPr>
              <w:t>课时，选修课</w:t>
            </w:r>
            <w:r>
              <w:rPr>
                <w:rFonts w:ascii="Times New Roman" w:hAnsi="Times New Roman" w:eastAsia="仿宋_GB2312" w:cs="Times New Roman"/>
                <w:color w:val="000000" w:themeColor="text1"/>
                <w:kern w:val="0"/>
                <w:sz w:val="24"/>
                <w:szCs w:val="24"/>
              </w:rPr>
              <w:t>30</w:t>
            </w:r>
            <w:r>
              <w:rPr>
                <w:rFonts w:ascii="Times New Roman" w:hAnsi="仿宋_GB2312" w:eastAsia="仿宋_GB2312" w:cs="Times New Roman"/>
                <w:color w:val="000000" w:themeColor="text1"/>
                <w:kern w:val="0"/>
                <w:sz w:val="24"/>
                <w:szCs w:val="24"/>
              </w:rPr>
              <w:t>课时）</w:t>
            </w:r>
          </w:p>
        </w:tc>
      </w:tr>
    </w:tbl>
    <w:p>
      <w:pPr>
        <w:rPr>
          <w:rFonts w:ascii="Times New Roman" w:hAnsi="Times New Roman" w:eastAsia="方正小标宋简体" w:cs="Times New Roman"/>
          <w:color w:val="000000" w:themeColor="text1"/>
          <w:sz w:val="44"/>
          <w:szCs w:val="44"/>
        </w:rPr>
        <w:sectPr>
          <w:footerReference r:id="rId3" w:type="default"/>
          <w:footerReference r:id="rId4" w:type="even"/>
          <w:pgSz w:w="11906" w:h="16838"/>
          <w:pgMar w:top="1588" w:right="1588" w:bottom="2268" w:left="1588" w:header="851" w:footer="1701" w:gutter="0"/>
          <w:pgNumType w:start="4"/>
          <w:cols w:space="425" w:num="1"/>
          <w:docGrid w:type="linesAndChars" w:linePitch="312" w:charSpace="0"/>
        </w:sectPr>
      </w:pPr>
    </w:p>
    <w:p>
      <w:pPr>
        <w:rPr>
          <w:rFonts w:ascii="Times New Roman" w:hAnsi="Times New Roman" w:eastAsia="方正小标宋简体" w:cs="Times New Roman"/>
          <w:color w:val="000000" w:themeColor="text1"/>
          <w:sz w:val="44"/>
          <w:szCs w:val="44"/>
        </w:rPr>
      </w:pPr>
      <w:bookmarkStart w:id="0" w:name="_GoBack"/>
      <w:bookmarkEnd w:id="0"/>
    </w:p>
    <w:sectPr>
      <w:pgSz w:w="11906" w:h="16838"/>
      <w:pgMar w:top="1588" w:right="1588" w:bottom="2268" w:left="1588"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A1914E-A086-44DF-A512-4D3C3D7A3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FD186F93-F7B6-47A3-974E-E9502C0E8112}"/>
  </w:font>
  <w:font w:name="仿宋_GB2312">
    <w:panose1 w:val="02010609030101010101"/>
    <w:charset w:val="86"/>
    <w:family w:val="modern"/>
    <w:pitch w:val="default"/>
    <w:sig w:usb0="00000001" w:usb1="080E0000" w:usb2="00000000" w:usb3="00000000" w:csb0="00040000" w:csb1="00000000"/>
    <w:embedRegular r:id="rId3" w:fontKey="{E4996313-508D-4FE9-A65E-A5A3B612F9ED}"/>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56704"/>
      <w:docPartObj>
        <w:docPartGallery w:val="AutoText"/>
      </w:docPartObj>
    </w:sdtPr>
    <w:sdtEndPr>
      <w:rPr>
        <w:rFonts w:ascii="Times New Roman" w:hAnsi="Times New Roman" w:cs="Times New Roman"/>
        <w:sz w:val="28"/>
        <w:szCs w:val="28"/>
      </w:rPr>
    </w:sdtEndPr>
    <w:sdtContent>
      <w:p>
        <w:pPr>
          <w:pStyle w:val="3"/>
          <w:ind w:left="210" w:leftChars="100" w:right="210" w:rightChars="100"/>
          <w:jc w:val="right"/>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4556689"/>
      <w:docPartObj>
        <w:docPartGallery w:val="AutoText"/>
      </w:docPartObj>
    </w:sdtPr>
    <w:sdtEndPr>
      <w:rPr>
        <w:rFonts w:ascii="Times New Roman" w:hAnsi="Times New Roman" w:cs="Times New Roman"/>
        <w:sz w:val="28"/>
        <w:szCs w:val="28"/>
      </w:rPr>
    </w:sdtEndPr>
    <w:sdtContent>
      <w:p>
        <w:pPr>
          <w:pStyle w:val="3"/>
          <w:ind w:left="210" w:leftChars="100" w:right="210" w:rightChars="100"/>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03463"/>
    <w:rsid w:val="0004078E"/>
    <w:rsid w:val="00060CF7"/>
    <w:rsid w:val="002813C8"/>
    <w:rsid w:val="00293093"/>
    <w:rsid w:val="002E4E9A"/>
    <w:rsid w:val="003E45A1"/>
    <w:rsid w:val="00420486"/>
    <w:rsid w:val="00465983"/>
    <w:rsid w:val="0051397B"/>
    <w:rsid w:val="00534638"/>
    <w:rsid w:val="005B1A29"/>
    <w:rsid w:val="007737D1"/>
    <w:rsid w:val="00776160"/>
    <w:rsid w:val="00803463"/>
    <w:rsid w:val="00815214"/>
    <w:rsid w:val="00851565"/>
    <w:rsid w:val="009B7014"/>
    <w:rsid w:val="00BA104B"/>
    <w:rsid w:val="00BA23FA"/>
    <w:rsid w:val="00C50B2A"/>
    <w:rsid w:val="00CE669A"/>
    <w:rsid w:val="00D742C6"/>
    <w:rsid w:val="00E85A21"/>
    <w:rsid w:val="00FD56D9"/>
    <w:rsid w:val="0259076E"/>
    <w:rsid w:val="0A5D0F2E"/>
    <w:rsid w:val="0D311ABA"/>
    <w:rsid w:val="1457788F"/>
    <w:rsid w:val="20176124"/>
    <w:rsid w:val="25D4327F"/>
    <w:rsid w:val="266B71CA"/>
    <w:rsid w:val="29D504CB"/>
    <w:rsid w:val="29EB3334"/>
    <w:rsid w:val="33B20D57"/>
    <w:rsid w:val="35960ECB"/>
    <w:rsid w:val="36816EF2"/>
    <w:rsid w:val="36EE434B"/>
    <w:rsid w:val="380F2204"/>
    <w:rsid w:val="38E928FC"/>
    <w:rsid w:val="3F6656E8"/>
    <w:rsid w:val="56742B21"/>
    <w:rsid w:val="59BD1EFD"/>
    <w:rsid w:val="66B90C36"/>
    <w:rsid w:val="721A7059"/>
    <w:rsid w:val="74031961"/>
    <w:rsid w:val="78C804E3"/>
    <w:rsid w:val="7BF03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批注框文本 Char"/>
    <w:basedOn w:val="7"/>
    <w:link w:val="2"/>
    <w:semiHidden/>
    <w:qFormat/>
    <w:uiPriority w:val="99"/>
    <w:rPr>
      <w:kern w:val="2"/>
      <w:sz w:val="18"/>
      <w:szCs w:val="18"/>
    </w:rPr>
  </w:style>
  <w:style w:type="character" w:customStyle="1" w:styleId="11">
    <w:name w:val="页脚 Char"/>
    <w:basedOn w:val="7"/>
    <w:link w:val="3"/>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724</Words>
  <Characters>4129</Characters>
  <Lines>34</Lines>
  <Paragraphs>9</Paragraphs>
  <TotalTime>20</TotalTime>
  <ScaleCrop>false</ScaleCrop>
  <LinksUpToDate>false</LinksUpToDate>
  <CharactersWithSpaces>4844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2022-03-11T02:37:00Z</dcterms:created>
  <dc:creator>q</dc:creator>
  <cp:lastModifiedBy>小梅梅</cp:lastModifiedBy>
  <dcterms:modified xsi:type="dcterms:W3CDTF">2022-03-11T02:45:39Z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2D8C9940D1014E1EA1062B856E164F44</vt:lpwstr>
  </property>
</Properties>
</file>