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579" w:lineRule="exact"/>
        <w:textAlignment w:val="center"/>
        <w:rPr>
          <w:rFonts w:hint="eastAsia" w:ascii="黑体" w:hAnsi="黑体" w:eastAsia="黑体"/>
          <w:bCs/>
          <w:sz w:val="32"/>
          <w:szCs w:val="32"/>
        </w:rPr>
      </w:pPr>
      <w:r>
        <w:rPr>
          <w:rFonts w:hint="eastAsia" w:ascii="黑体" w:hAnsi="黑体" w:eastAsia="黑体"/>
          <w:bCs/>
          <w:sz w:val="32"/>
          <w:szCs w:val="32"/>
        </w:rPr>
        <w:t>附件</w:t>
      </w:r>
    </w:p>
    <w:p>
      <w:pPr>
        <w:overflowPunct w:val="0"/>
        <w:spacing w:line="579" w:lineRule="exact"/>
        <w:ind w:firstLine="640" w:firstLineChars="200"/>
        <w:textAlignment w:val="center"/>
        <w:rPr>
          <w:rFonts w:eastAsia="仿宋_GB2312"/>
          <w:bCs/>
          <w:sz w:val="32"/>
          <w:szCs w:val="32"/>
        </w:rPr>
      </w:pPr>
    </w:p>
    <w:p>
      <w:pPr>
        <w:overflowPunct w:val="0"/>
        <w:spacing w:line="579" w:lineRule="exact"/>
        <w:jc w:val="center"/>
        <w:textAlignment w:val="center"/>
        <w:rPr>
          <w:rFonts w:hint="eastAsia" w:ascii="方正小标宋_GBK" w:eastAsia="方正小标宋_GBK"/>
          <w:sz w:val="38"/>
          <w:szCs w:val="38"/>
        </w:rPr>
      </w:pPr>
      <w:r>
        <w:rPr>
          <w:rFonts w:hint="eastAsia" w:ascii="方正小标宋_GBK" w:eastAsia="方正小标宋_GBK"/>
          <w:sz w:val="38"/>
          <w:szCs w:val="38"/>
        </w:rPr>
        <w:t>项目简介</w:t>
      </w:r>
    </w:p>
    <w:p>
      <w:pPr>
        <w:overflowPunct w:val="0"/>
        <w:spacing w:line="579" w:lineRule="exact"/>
        <w:ind w:firstLine="643" w:firstLineChars="200"/>
        <w:textAlignment w:val="center"/>
        <w:rPr>
          <w:rFonts w:eastAsia="仿宋_GB2312"/>
          <w:b/>
          <w:sz w:val="32"/>
          <w:szCs w:val="32"/>
        </w:rPr>
      </w:pPr>
    </w:p>
    <w:p>
      <w:pPr>
        <w:overflowPunct w:val="0"/>
        <w:spacing w:line="579" w:lineRule="exact"/>
        <w:ind w:firstLine="640" w:firstLineChars="200"/>
        <w:textAlignment w:val="center"/>
        <w:rPr>
          <w:rFonts w:eastAsia="仿宋_GB2312"/>
          <w:bCs/>
          <w:sz w:val="32"/>
          <w:szCs w:val="32"/>
        </w:rPr>
      </w:pPr>
      <w:r>
        <w:rPr>
          <w:rFonts w:eastAsia="仿宋_GB2312"/>
          <w:sz w:val="32"/>
          <w:szCs w:val="32"/>
        </w:rPr>
        <w:t>江苏省华建建设股份有限公司承建的湖北中烟卷烟材料厂易地技术改造项目（一期）项目是湖北中烟集团重要的配套生辅助生产重点项目，项目按照年产150亿支成品滤棒进行规划设计建设，项目初步设计批复建设面积49716.97平米，新建联合工房（含原辅料库）38726.13m</w:t>
      </w:r>
      <w:r>
        <w:rPr>
          <w:rFonts w:eastAsia="仿宋_GB2312"/>
          <w:sz w:val="32"/>
          <w:szCs w:val="32"/>
          <w:vertAlign w:val="superscript"/>
        </w:rPr>
        <w:t>2</w:t>
      </w:r>
      <w:r>
        <w:rPr>
          <w:rFonts w:eastAsia="仿宋_GB2312"/>
          <w:sz w:val="32"/>
          <w:szCs w:val="32"/>
        </w:rPr>
        <w:t>；生产管理及后勤服务用房6393.60m</w:t>
      </w:r>
      <w:r>
        <w:rPr>
          <w:rFonts w:eastAsia="仿宋_GB2312"/>
          <w:sz w:val="32"/>
          <w:szCs w:val="32"/>
          <w:vertAlign w:val="superscript"/>
        </w:rPr>
        <w:t>2</w:t>
      </w:r>
      <w:r>
        <w:rPr>
          <w:rFonts w:eastAsia="仿宋_GB2312"/>
          <w:sz w:val="32"/>
          <w:szCs w:val="32"/>
        </w:rPr>
        <w:t>（含技术中心2000m</w:t>
      </w:r>
      <w:r>
        <w:rPr>
          <w:rFonts w:eastAsia="仿宋_GB2312"/>
          <w:sz w:val="32"/>
          <w:szCs w:val="32"/>
          <w:vertAlign w:val="superscript"/>
        </w:rPr>
        <w:t>2</w:t>
      </w:r>
      <w:r>
        <w:rPr>
          <w:rFonts w:eastAsia="仿宋_GB2312"/>
          <w:sz w:val="32"/>
          <w:szCs w:val="32"/>
        </w:rPr>
        <w:t>）；动力中心2985.54m</w:t>
      </w:r>
      <w:r>
        <w:rPr>
          <w:rFonts w:eastAsia="仿宋_GB2312"/>
          <w:sz w:val="32"/>
          <w:szCs w:val="32"/>
          <w:vertAlign w:val="superscript"/>
        </w:rPr>
        <w:t>2</w:t>
      </w:r>
      <w:r>
        <w:rPr>
          <w:rFonts w:eastAsia="仿宋_GB2312"/>
          <w:sz w:val="32"/>
          <w:szCs w:val="32"/>
        </w:rPr>
        <w:t>；废品站1500m</w:t>
      </w:r>
      <w:r>
        <w:rPr>
          <w:rFonts w:eastAsia="仿宋_GB2312"/>
          <w:sz w:val="32"/>
          <w:szCs w:val="32"/>
          <w:vertAlign w:val="superscript"/>
        </w:rPr>
        <w:t>2</w:t>
      </w:r>
      <w:r>
        <w:rPr>
          <w:rFonts w:eastAsia="仿宋_GB2312"/>
          <w:sz w:val="32"/>
          <w:szCs w:val="32"/>
        </w:rPr>
        <w:t>；大门及门卫室111.7m</w:t>
      </w:r>
      <w:r>
        <w:rPr>
          <w:rFonts w:eastAsia="仿宋_GB2312"/>
          <w:sz w:val="32"/>
          <w:szCs w:val="32"/>
          <w:vertAlign w:val="superscript"/>
        </w:rPr>
        <w:t>2</w:t>
      </w:r>
      <w:r>
        <w:rPr>
          <w:rFonts w:eastAsia="仿宋_GB2312"/>
          <w:sz w:val="32"/>
          <w:szCs w:val="32"/>
        </w:rPr>
        <w:t>及相关配套工程。项目总建筑面积49716.97m</w:t>
      </w:r>
      <w:r>
        <w:rPr>
          <w:rFonts w:eastAsia="仿宋_GB2312"/>
          <w:sz w:val="32"/>
          <w:szCs w:val="32"/>
          <w:vertAlign w:val="superscript"/>
        </w:rPr>
        <w:t>2</w:t>
      </w:r>
      <w:r>
        <w:rPr>
          <w:rFonts w:eastAsia="仿宋_GB2312"/>
          <w:sz w:val="32"/>
          <w:szCs w:val="32"/>
        </w:rPr>
        <w:t>。搬迁现有普通滤棒机组16台，珠子滤棒机组16台，复合滤棒机组9台，异型滤棒机组8台，合计49台。同时项目新建三醋酸甘油酯自动供甘油系统；工艺设备用循环冷却水系统；联合工房物流系统（原辅料物流系统、滤棒生产及包装物流系统、成品物流系统）；生产线自动控制系统（生产工艺自动化控制、物流自动化控制）；工艺质量检测系统；特殊气味车间；废品回收处理系统。</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A46A59D2-BE56-4E2D-8406-B488AE1FAD01}"/>
  </w:font>
  <w:font w:name="仿宋_GB2312">
    <w:altName w:val="仿宋"/>
    <w:panose1 w:val="02010609030101010101"/>
    <w:charset w:val="86"/>
    <w:family w:val="modern"/>
    <w:pitch w:val="default"/>
    <w:sig w:usb0="00000000" w:usb1="00000000" w:usb2="00000000" w:usb3="00000000" w:csb0="00040000" w:csb1="00000000"/>
    <w:embedRegular r:id="rId2" w:fontKey="{E4841270-63B9-45B3-A324-01D14F46AE06}"/>
  </w:font>
  <w:font w:name="方正小标宋_GBK">
    <w:panose1 w:val="02000000000000000000"/>
    <w:charset w:val="86"/>
    <w:family w:val="script"/>
    <w:pitch w:val="default"/>
    <w:sig w:usb0="A00002BF" w:usb1="38CF7CFA" w:usb2="00082016" w:usb3="00000000" w:csb0="00040001" w:csb1="00000000"/>
    <w:embedRegular r:id="rId3" w:fontKey="{50C290CC-E8CD-46E9-87F0-346268A1DA6A}"/>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wMjAzYzVhMjQzMjUzMDUyZTQyYjcxODgyZGQxZTMifQ=="/>
  </w:docVars>
  <w:rsids>
    <w:rsidRoot w:val="00000000"/>
    <w:rsid w:val="2BA122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2022-07-28T07:52:35Z</dcterms:created>
  <dc:creator>Administrator</dc:creator>
  <cp:lastModifiedBy>晖</cp:lastModifiedBy>
  <dcterms:modified xsi:type="dcterms:W3CDTF">2022-07-28T07:52:49Z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9CD3FA0CDD9145BC983A62EB514F7A7F</vt:lpwstr>
  </property>
</Properties>
</file>