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1" w:name="_GoBack"/>
      <w:bookmarkEnd w:id="1"/>
      <w:bookmarkStart w:id="0" w:name="zhengwen"/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8"/>
          <w:kern w:val="44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8"/>
          <w:kern w:val="44"/>
          <w:sz w:val="36"/>
          <w:szCs w:val="36"/>
          <w:shd w:val="clear" w:color="auto" w:fill="FFFFFF"/>
        </w:rPr>
        <w:t>智慧工地建设清单（试行）</w:t>
      </w:r>
    </w:p>
    <w:tbl>
      <w:tblPr>
        <w:tblStyle w:val="6"/>
        <w:tblW w:w="95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64"/>
        <w:gridCol w:w="5186"/>
        <w:gridCol w:w="1173"/>
        <w:gridCol w:w="1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子系统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基本要求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基础项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提高项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人员管理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实名制管理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每个工程的人员出入口，安装身份识别（人脸、指纹、虹膜、手机NFC或其他生物特征）设备采集人员信息。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N1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8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证件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管理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对管理人员、特种作业人员、安管人员的岗位证书、从业经历、继续教育、诚信记录等实现信息化管理。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8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工资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管理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具备项目工资款拨付及农民工工资发放情况动态监管，自动进行拖欠风险预警提示。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培训教育管理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对从业人员的学习培训和继续教育等信息，实现信息化管理。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  <w:jc w:val="center"/>
        </w:trPr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智慧监控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扬尘噪声监测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设置扬尘噪声监测设备及其配套监控软件，实时采集现场PM2.5、PM10、噪声、温度等相关环境数据，并实现联动喷淋降尘处置。房建工程用地面积每2万平方米不少于 1个监测点。距离基坑或项目主体结构不大于10米范围，或距离工程主要出入口不大于5米范围。市政工程参照执行。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N1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视频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监控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400W球型摄像机：安装在塔式起重机或周边建筑物制高点上及主出入口大门，对在建工程360°全方位进行监控。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400W枪型摄像机：安装在工地出入口、冲洗区、主要通道、施工升降机、物料加工区、工人生活区（可选）、项目部会议室等。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N1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车辆出入管理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通过车牌识别功能，自动登记车辆出入信息，建立车辆信息库，掌握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进出项目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车辆基本数据。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智慧监控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AI行为分析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采用AI智能识别技术实现施工现场安全帽佩戴、安全绳和反光衣穿戴，以及临边防护、裸土覆盖、明火烟雾、车辆冲洗等场景智能识别，进行预警提示防控。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临边、卸料平台预警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在工程施工现场四口、五临边等容易发生高处坠落的位置，安装临边预警装置。现场卸料平台全部安装、使用智慧监测与报警装置。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深基坑监控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☆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现场基坑安装、使用智慧监测装置，根据不同深基坑安全等级和施工工法，进行相关数据实时在线监测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高效预警。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高支模监控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☆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现场安装、使用混凝土模板支撑体系智慧监测与报警装置。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水电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监控</w:t>
            </w:r>
          </w:p>
        </w:tc>
        <w:tc>
          <w:tcPr>
            <w:tcW w:w="5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使用智能水表、电表实时监测办公区、生活区、施工区用水、用电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，为项目节水、节电管理提供数据支撑。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起重机械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施工升降机安全监控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现场施工升降机全部安装、使用安全监控报警智能设备，具备驾驶员人脸识别、人员限载及运行状态等实时监控、预警功能。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N1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塔式起重机安全监控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对塔式起重机全部安装、使用安全监控报警智能设备，对定期检查、维修保养及运行状态等基本信息进行管理，具备群塔防碰撞、自动报警等功能。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N1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吊钩可视化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现场塔式起重机全部安装、使用吊钩可视化监测系统，指导司机吊物操作，提高塔机作业的安全性。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kern w:val="0"/>
                <w:sz w:val="28"/>
                <w:szCs w:val="28"/>
              </w:rPr>
              <w:t>钢丝绳监测管理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kern w:val="0"/>
                <w:sz w:val="28"/>
                <w:szCs w:val="28"/>
              </w:rPr>
              <w:t>采用数字化探头设备监测钢丝绳的实时损伤、断丝、磨损、锈蚀、疲劳、变形等数据，研判损伤发展趋势，超限超载实时预警，实现远程数据管理、数据查看、数据分析等功能。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起重机械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塔式起重机安装拆卸安全监控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对塔机在安装、顶升、拆卸作业过程中，实时采集顶升横梁、爬爪、位移等作业数据，对违规操作、不安全状态进行实时声光报警，实现远程监督、移动监督、预警防控为特征的数字化监管。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智慧提质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关键工序可视化追溯管理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对混凝土浇筑、混凝土取样、制样及送样、土方回填、防水工程和外墙保温工程等关键工序的可视化追溯管理。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8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混凝土试块信息化管理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实现实时监测标养室温度、湿度，对混凝土试块到达养护龄期的进行预提醒。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8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信息化实测实量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采用三维激光扫描仪、智能靠尺、智能角尺、智能回弹检测仪、智能水平仪等智能设备进行工程质量实测实量，实时生成检测结果。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N2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281" w:firstLineChars="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：1.本清单将结合试行情况适时调整。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1115" w:leftChars="261" w:hanging="280" w:hangingChars="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2.标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bidi="ar"/>
        </w:rPr>
        <w:t>☆项目，根据《关于进一步压实责任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bidi="ar"/>
        </w:rPr>
        <w:t>强化能力抓好房屋市政工程安全管理的通知》（鄂建文〔2021〕43号）要求，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深度超过8m且地质条件、周围环境和地下管线复杂的基坑施工要安装位移变形监测预警系统；搭设高度超过16m的混凝土模板支撑工程施工要应用模板支撑变形监测系统。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1115" w:leftChars="261" w:hanging="280" w:hangingChars="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680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3.X为创新项，企业可根据工程项目特点和管理能力，创新实施内容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。</w:t>
      </w:r>
    </w:p>
    <w:p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8"/>
          <w:kern w:val="44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8"/>
          <w:kern w:val="44"/>
          <w:sz w:val="36"/>
          <w:szCs w:val="36"/>
          <w:shd w:val="clear" w:color="auto" w:fill="FFFFFF"/>
        </w:rPr>
        <w:t>智慧工地建设联系人</w:t>
      </w:r>
    </w:p>
    <w:tbl>
      <w:tblPr>
        <w:tblStyle w:val="6"/>
        <w:tblW w:w="139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3939"/>
        <w:gridCol w:w="2357"/>
        <w:gridCol w:w="2431"/>
        <w:gridCol w:w="3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32"/>
                <w:szCs w:val="32"/>
                <w:lang w:bidi="ar"/>
              </w:rPr>
              <w:t>填报单位：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5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32"/>
                <w:szCs w:val="32"/>
                <w:lang w:bidi="ar"/>
              </w:rPr>
              <w:t>时间：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姓 名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单    位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职 务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备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分管领导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联络员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</w:tr>
    </w:tbl>
    <w:p>
      <w:pPr>
        <w:spacing w:line="600" w:lineRule="exact"/>
        <w:ind w:firstLine="562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：请与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智慧工地建设实施方案和示范项目情况，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于2023年4月15日前一并报送省厅。 </w:t>
      </w:r>
    </w:p>
    <w:p>
      <w:pPr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pgSz w:w="16838" w:h="11906" w:orient="landscape"/>
          <w:pgMar w:top="1440" w:right="1800" w:bottom="1440" w:left="1800" w:header="851" w:footer="680" w:gutter="0"/>
          <w:pgNumType w:fmt="numberInDash"/>
          <w:cols w:space="425" w:num="1"/>
          <w:docGrid w:type="lines" w:linePitch="312" w:charSpace="0"/>
        </w:sectPr>
      </w:pPr>
    </w:p>
    <w:p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智慧工地示范推进项目信息表</w:t>
      </w:r>
    </w:p>
    <w:tbl>
      <w:tblPr>
        <w:tblStyle w:val="6"/>
        <w:tblW w:w="140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1933"/>
        <w:gridCol w:w="3514"/>
        <w:gridCol w:w="2724"/>
        <w:gridCol w:w="2328"/>
        <w:gridCol w:w="16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32"/>
                <w:szCs w:val="32"/>
                <w:lang w:bidi="ar"/>
              </w:rPr>
              <w:t>填报单位：</w:t>
            </w:r>
          </w:p>
        </w:tc>
        <w:tc>
          <w:tcPr>
            <w:tcW w:w="6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32"/>
                <w:szCs w:val="32"/>
                <w:lang w:bidi="ar"/>
              </w:rPr>
              <w:t>时间：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施工进度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智慧工地建设内容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示范建设特点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项目联系人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及电话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备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304" w:leftChars="232" w:hanging="562" w:hangingChars="200"/>
        <w:jc w:val="left"/>
        <w:textAlignment w:val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：请各市州推荐3-5个示范建设项目，于2023年4月15日前报送省厅。</w:t>
      </w:r>
    </w:p>
    <w:bookmarkEnd w:id="0"/>
    <w:p/>
    <w:sectPr>
      <w:pgSz w:w="16838" w:h="11906" w:orient="landscape"/>
      <w:pgMar w:top="1440" w:right="1800" w:bottom="1440" w:left="1800" w:header="851" w:footer="680" w:gutter="0"/>
      <w:pgNumType w:fmt="numberInDash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NmUyYmYxMzY0OWYzNzQ1Y2E3OGZiNzU0OTU1M2EifQ=="/>
  </w:docVars>
  <w:rsids>
    <w:rsidRoot w:val="5E977924"/>
    <w:rsid w:val="005E5293"/>
    <w:rsid w:val="009F242B"/>
    <w:rsid w:val="00AD5B3D"/>
    <w:rsid w:val="00B772D3"/>
    <w:rsid w:val="00EA5778"/>
    <w:rsid w:val="0F2D5874"/>
    <w:rsid w:val="1DB86168"/>
    <w:rsid w:val="1F236109"/>
    <w:rsid w:val="32863BA4"/>
    <w:rsid w:val="4A2658A1"/>
    <w:rsid w:val="5E977924"/>
    <w:rsid w:val="64EE55D5"/>
    <w:rsid w:val="E3AFDC95"/>
    <w:rsid w:val="EF7D404E"/>
    <w:rsid w:val="FEAD92AF"/>
    <w:rsid w:val="FFF7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semiHidden/>
    <w:unhideWhenUsed/>
    <w:qFormat/>
    <w:uiPriority w:val="99"/>
    <w:pPr>
      <w:snapToGrid w:val="0"/>
      <w:spacing w:after="120" w:line="400" w:lineRule="exact"/>
      <w:ind w:left="420" w:leftChars="200"/>
    </w:pPr>
    <w:rPr>
      <w:rFonts w:eastAsia="宋体" w:asciiTheme="minorHAnsi" w:hAnsiTheme="minorHAnsi" w:cstheme="minorBidi"/>
      <w:sz w:val="24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5">
    <w:name w:val="Body Text First Indent 2"/>
    <w:basedOn w:val="2"/>
    <w:next w:val="1"/>
    <w:link w:val="12"/>
    <w:semiHidden/>
    <w:unhideWhenUsed/>
    <w:qFormat/>
    <w:uiPriority w:val="99"/>
    <w:pPr>
      <w:spacing w:after="0"/>
      <w:ind w:left="1260" w:leftChars="600" w:firstLine="420" w:firstLineChars="200"/>
    </w:pPr>
    <w:rPr>
      <w:rFonts w:ascii="黑体" w:eastAsia="黑体"/>
      <w:kern w:val="0"/>
      <w:szCs w:val="20"/>
    </w:rPr>
  </w:style>
  <w:style w:type="character" w:styleId="8">
    <w:name w:val="page number"/>
    <w:basedOn w:val="7"/>
    <w:semiHidden/>
    <w:unhideWhenUsed/>
    <w:qFormat/>
    <w:uiPriority w:val="99"/>
  </w:style>
  <w:style w:type="character" w:styleId="9">
    <w:name w:val="Hyperlink"/>
    <w:qFormat/>
    <w:uiPriority w:val="99"/>
    <w:rPr>
      <w:rFonts w:asciiTheme="minorHAnsi" w:hAnsiTheme="minorHAnsi" w:eastAsiaTheme="minorEastAsia" w:cstheme="minorBidi"/>
      <w:color w:val="0000FF"/>
      <w:u w:val="single"/>
    </w:rPr>
  </w:style>
  <w:style w:type="paragraph" w:customStyle="1" w:styleId="10">
    <w:name w:val="Title1"/>
    <w:basedOn w:val="1"/>
    <w:next w:val="1"/>
    <w:qFormat/>
    <w:uiPriority w:val="0"/>
    <w:pPr>
      <w:snapToGrid w:val="0"/>
      <w:spacing w:before="240" w:after="60" w:line="400" w:lineRule="exact"/>
      <w:jc w:val="center"/>
      <w:outlineLvl w:val="0"/>
    </w:pPr>
    <w:rPr>
      <w:rFonts w:ascii="Cambria" w:hAnsi="Cambria" w:eastAsia="宋体" w:cs="Times New Roman"/>
      <w:b/>
      <w:sz w:val="32"/>
    </w:rPr>
  </w:style>
  <w:style w:type="character" w:customStyle="1" w:styleId="11">
    <w:name w:val="正文文本缩进 Char"/>
    <w:basedOn w:val="7"/>
    <w:link w:val="2"/>
    <w:semiHidden/>
    <w:qFormat/>
    <w:uiPriority w:val="99"/>
    <w:rPr>
      <w:rFonts w:asciiTheme="minorHAnsi" w:hAnsiTheme="minorHAnsi" w:eastAsiaTheme="minorEastAsia" w:cstheme="minorBidi"/>
    </w:rPr>
  </w:style>
  <w:style w:type="character" w:customStyle="1" w:styleId="12">
    <w:name w:val="正文首行缩进 2 Char"/>
    <w:basedOn w:val="11"/>
    <w:link w:val="5"/>
    <w:semiHidden/>
    <w:qFormat/>
    <w:uiPriority w:val="99"/>
    <w:rPr>
      <w:rFonts w:ascii="黑体" w:eastAsia="黑体"/>
      <w:kern w:val="0"/>
      <w:szCs w:val="20"/>
    </w:rPr>
  </w:style>
  <w:style w:type="character" w:customStyle="1" w:styleId="13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sz w:val="18"/>
      <w:szCs w:val="20"/>
    </w:rPr>
  </w:style>
  <w:style w:type="character" w:customStyle="1" w:styleId="14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9</Pages>
  <Words>3330</Words>
  <Characters>3491</Characters>
  <Lines>27</Lines>
  <Paragraphs>7</Paragraphs>
  <TotalTime>22</TotalTime>
  <ScaleCrop>false</ScaleCrop>
  <LinksUpToDate>false</LinksUpToDate>
  <CharactersWithSpaces>3529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2023-04-07T23:31:00Z</dcterms:created>
  <dc:creator>Windows User</dc:creator>
  <cp:lastModifiedBy>冯卫/信息中心/湖北省住房和城乡建设厅</cp:lastModifiedBy>
  <cp:lastPrinted>2023-04-09T16:36:00Z</cp:lastPrinted>
  <dcterms:modified xsi:type="dcterms:W3CDTF">2023-04-07T08:14:52Z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6DDB3265830E4E438804A62EE821AA32</vt:lpwstr>
  </property>
</Properties>
</file>