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23C0C">
      <w:pPr>
        <w:spacing w:before="98" w:line="222" w:lineRule="auto"/>
        <w:ind w:left="2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9"/>
          <w:sz w:val="30"/>
          <w:szCs w:val="30"/>
        </w:rPr>
        <w:t>附件</w:t>
      </w:r>
    </w:p>
    <w:p w14:paraId="7F84CA09">
      <w:pPr>
        <w:spacing w:line="270" w:lineRule="auto"/>
        <w:rPr>
          <w:rFonts w:ascii="Arial"/>
          <w:sz w:val="21"/>
        </w:rPr>
      </w:pPr>
    </w:p>
    <w:p w14:paraId="1519A35F">
      <w:pPr>
        <w:spacing w:line="270" w:lineRule="auto"/>
        <w:rPr>
          <w:rFonts w:ascii="Arial"/>
          <w:sz w:val="21"/>
        </w:rPr>
      </w:pPr>
    </w:p>
    <w:p w14:paraId="10CE6055">
      <w:pPr>
        <w:spacing w:before="172" w:line="181" w:lineRule="auto"/>
        <w:ind w:left="3162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z w:val="40"/>
          <w:szCs w:val="40"/>
        </w:rPr>
        <w:t>观摩项目简介</w:t>
      </w:r>
    </w:p>
    <w:p w14:paraId="70DF707A">
      <w:pPr>
        <w:spacing w:line="311" w:lineRule="auto"/>
        <w:rPr>
          <w:rFonts w:ascii="Arial"/>
          <w:sz w:val="21"/>
        </w:rPr>
      </w:pPr>
    </w:p>
    <w:p w14:paraId="711A5156">
      <w:pPr>
        <w:spacing w:line="311" w:lineRule="auto"/>
        <w:rPr>
          <w:rFonts w:ascii="Arial"/>
          <w:sz w:val="21"/>
        </w:rPr>
      </w:pPr>
    </w:p>
    <w:p w14:paraId="2E66E6C9">
      <w:pPr>
        <w:pStyle w:val="2"/>
        <w:spacing w:before="97" w:line="351" w:lineRule="auto"/>
        <w:ind w:firstLine="623"/>
        <w:jc w:val="both"/>
      </w:pPr>
      <w:r>
        <w:rPr>
          <w:spacing w:val="-2"/>
        </w:rPr>
        <w:t xml:space="preserve">南昌东站站房及相关工程总建筑面积为 </w:t>
      </w:r>
      <w:r>
        <w:rPr>
          <w:rFonts w:ascii="Times New Roman" w:hAnsi="Times New Roman" w:eastAsia="Times New Roman" w:cs="Times New Roman"/>
          <w:spacing w:val="-2"/>
        </w:rPr>
        <w:t>22.35</w:t>
      </w:r>
      <w:r>
        <w:rPr>
          <w:rFonts w:ascii="Times New Roman" w:hAnsi="Times New Roman" w:eastAsia="Times New Roman" w:cs="Times New Roman"/>
          <w:spacing w:val="-3"/>
        </w:rPr>
        <w:t xml:space="preserve">  </w:t>
      </w:r>
      <w:r>
        <w:rPr>
          <w:spacing w:val="-3"/>
        </w:rPr>
        <w:t>万平方米，其中</w:t>
      </w:r>
      <w:r>
        <w:t xml:space="preserve"> </w:t>
      </w:r>
      <w:r>
        <w:rPr>
          <w:spacing w:val="-3"/>
        </w:rPr>
        <w:t>站房建筑面积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9.95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3"/>
        </w:rPr>
        <w:t>万平方米，铁路配套地下停车场面积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9.3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-3"/>
        </w:rPr>
        <w:t>万平方</w:t>
      </w:r>
      <w:r>
        <w:t xml:space="preserve"> </w:t>
      </w:r>
      <w:r>
        <w:rPr>
          <w:spacing w:val="-2"/>
        </w:rPr>
        <w:t xml:space="preserve">米，地铁集散厅、城市换乘通道面积 </w:t>
      </w:r>
      <w:r>
        <w:rPr>
          <w:rFonts w:ascii="Times New Roman" w:hAnsi="Times New Roman" w:eastAsia="Times New Roman" w:cs="Times New Roman"/>
          <w:spacing w:val="-2"/>
        </w:rPr>
        <w:t xml:space="preserve">3.1  </w:t>
      </w:r>
      <w:r>
        <w:rPr>
          <w:spacing w:val="-2"/>
        </w:rPr>
        <w:t>万平方米。站型为跨线高</w:t>
      </w:r>
      <w:r>
        <w:rPr>
          <w:spacing w:val="17"/>
        </w:rPr>
        <w:t xml:space="preserve"> </w:t>
      </w:r>
      <w:r>
        <w:rPr>
          <w:spacing w:val="-18"/>
        </w:rPr>
        <w:t>架</w:t>
      </w:r>
      <w:r>
        <w:rPr>
          <w:rFonts w:ascii="Times New Roman" w:hAnsi="Times New Roman" w:eastAsia="Times New Roman" w:cs="Times New Roman"/>
          <w:spacing w:val="-18"/>
        </w:rPr>
        <w:t>+</w:t>
      </w:r>
      <w:r>
        <w:rPr>
          <w:spacing w:val="-18"/>
        </w:rPr>
        <w:t>侧式站房，腰部进站。站场规模为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18"/>
        </w:rPr>
        <w:t>8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-18"/>
        </w:rPr>
        <w:t>台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8"/>
        </w:rPr>
        <w:t>16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8"/>
        </w:rPr>
        <w:t>线（其中</w:t>
      </w:r>
      <w:r>
        <w:rPr>
          <w:rFonts w:ascii="Times New Roman" w:hAnsi="Times New Roman" w:eastAsia="Times New Roman" w:cs="Times New Roman"/>
          <w:spacing w:val="-18"/>
        </w:rPr>
        <w:t>4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-18"/>
        </w:rPr>
        <w:t>条为正线）。</w:t>
      </w:r>
      <w:r>
        <w:t xml:space="preserve"> </w:t>
      </w:r>
      <w:r>
        <w:rPr>
          <w:spacing w:val="16"/>
        </w:rPr>
        <w:t>站房主体结构形式为钢筋混凝土框架</w:t>
      </w:r>
      <w:r>
        <w:rPr>
          <w:rFonts w:ascii="Times New Roman" w:hAnsi="Times New Roman" w:eastAsia="Times New Roman" w:cs="Times New Roman"/>
          <w:spacing w:val="16"/>
        </w:rPr>
        <w:t>+</w:t>
      </w:r>
      <w:r>
        <w:rPr>
          <w:spacing w:val="16"/>
        </w:rPr>
        <w:t>钢拱架屋盖，顺轨方向长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450m</w:t>
      </w:r>
      <w:r>
        <w:rPr>
          <w:spacing w:val="-3"/>
        </w:rPr>
        <w:t>，垂轨方向长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290m</w:t>
      </w:r>
      <w:r>
        <w:rPr>
          <w:spacing w:val="-3"/>
        </w:rPr>
        <w:t>，地上二层，地下一层。</w:t>
      </w:r>
    </w:p>
    <w:p w14:paraId="136A13AC">
      <w:pPr>
        <w:spacing w:before="169" w:line="2933" w:lineRule="exact"/>
        <w:ind w:firstLine="575"/>
      </w:pPr>
      <w:r>
        <w:rPr>
          <w:position w:val="-58"/>
        </w:rPr>
        <w:drawing>
          <wp:inline distT="0" distB="0" distL="0" distR="0">
            <wp:extent cx="4867275" cy="1861820"/>
            <wp:effectExtent l="0" t="0" r="9525" b="508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86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84AB7">
      <w:pPr>
        <w:spacing w:before="211" w:line="219" w:lineRule="auto"/>
        <w:ind w:left="61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一、施工工艺重难点</w:t>
      </w:r>
    </w:p>
    <w:p w14:paraId="4DBDB282">
      <w:pPr>
        <w:pStyle w:val="2"/>
        <w:spacing w:before="229" w:line="351" w:lineRule="auto"/>
        <w:ind w:left="4" w:right="89" w:firstLine="625"/>
      </w:pPr>
      <w:r>
        <w:rPr>
          <w:rFonts w:ascii="Times New Roman" w:hAnsi="Times New Roman" w:eastAsia="Times New Roman" w:cs="Times New Roman"/>
          <w:spacing w:val="-7"/>
        </w:rPr>
        <w:t xml:space="preserve">1.  </w:t>
      </w:r>
      <w:r>
        <w:rPr>
          <w:spacing w:val="-7"/>
        </w:rPr>
        <w:t>本工程站房屋盖为三联钢拱造型，用钢量约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1.38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7"/>
        </w:rPr>
        <w:t>万吨。工期</w:t>
      </w:r>
      <w:r>
        <w:t xml:space="preserve"> </w:t>
      </w:r>
      <w:r>
        <w:rPr>
          <w:spacing w:val="-1"/>
        </w:rPr>
        <w:t>紧，造型独特。滑移施工阶段拱脚处水平推力控制要求高。本工程</w:t>
      </w:r>
      <w:r>
        <w:rPr>
          <w:spacing w:val="18"/>
        </w:rPr>
        <w:t xml:space="preserve"> </w:t>
      </w:r>
      <w:r>
        <w:rPr>
          <w:spacing w:val="-1"/>
        </w:rPr>
        <w:t>钢拱架为五边形截面，截面尺寸从跨中向两侧逐渐变大。为实现建</w:t>
      </w:r>
      <w:r>
        <w:rPr>
          <w:spacing w:val="18"/>
        </w:rPr>
        <w:t xml:space="preserve"> </w:t>
      </w:r>
      <w:r>
        <w:t>筑的造型和效果，结构造型复杂，构件数量多</w:t>
      </w:r>
      <w:r>
        <w:rPr>
          <w:spacing w:val="-1"/>
        </w:rPr>
        <w:t>、定位难度大、安装</w:t>
      </w:r>
      <w:r>
        <w:t xml:space="preserve"> </w:t>
      </w:r>
      <w:r>
        <w:rPr>
          <w:spacing w:val="-17"/>
        </w:rPr>
        <w:t>精度高；</w:t>
      </w:r>
    </w:p>
    <w:p w14:paraId="68F609E1">
      <w:pPr>
        <w:spacing w:line="351" w:lineRule="auto"/>
        <w:sectPr>
          <w:footerReference r:id="rId5" w:type="default"/>
          <w:pgSz w:w="11907" w:h="16839"/>
          <w:pgMar w:top="1431" w:right="1497" w:bottom="1966" w:left="1594" w:header="0" w:footer="1699" w:gutter="0"/>
          <w:cols w:space="720" w:num="1"/>
        </w:sectPr>
      </w:pPr>
    </w:p>
    <w:p w14:paraId="03BD4B59">
      <w:pPr>
        <w:spacing w:line="374" w:lineRule="auto"/>
        <w:rPr>
          <w:rFonts w:ascii="Arial"/>
          <w:sz w:val="21"/>
        </w:rPr>
      </w:pPr>
    </w:p>
    <w:p w14:paraId="136DC51F">
      <w:pPr>
        <w:pStyle w:val="2"/>
        <w:spacing w:before="97" w:line="322" w:lineRule="auto"/>
        <w:ind w:left="1" w:firstLine="594"/>
      </w:pPr>
      <w:r>
        <w:rPr>
          <w:rFonts w:ascii="Times New Roman" w:hAnsi="Times New Roman" w:eastAsia="Times New Roman" w:cs="Times New Roman"/>
          <w:spacing w:val="-2"/>
        </w:rPr>
        <w:t xml:space="preserve">2.  </w:t>
      </w:r>
      <w:r>
        <w:rPr>
          <w:spacing w:val="-2"/>
        </w:rPr>
        <w:t>外立面花柱铝板幕墙造型复杂，整体为双曲面铝板，龙骨施</w:t>
      </w:r>
      <w:r>
        <w:rPr>
          <w:spacing w:val="8"/>
        </w:rPr>
        <w:t xml:space="preserve"> </w:t>
      </w:r>
      <w:r>
        <w:rPr>
          <w:spacing w:val="-1"/>
        </w:rPr>
        <w:t>工定位精度要求高，铝板加工、拼接控制难，幕墙完成后防水要求</w:t>
      </w:r>
      <w:r>
        <w:rPr>
          <w:spacing w:val="16"/>
        </w:rPr>
        <w:t xml:space="preserve"> </w:t>
      </w:r>
      <w:r>
        <w:rPr>
          <w:spacing w:val="-1"/>
        </w:rPr>
        <w:t>高。站房候车厅三联拱双曲铝板吊顶面积大、造型实施要求高、拼</w:t>
      </w:r>
      <w:r>
        <w:rPr>
          <w:spacing w:val="16"/>
        </w:rPr>
        <w:t xml:space="preserve"> </w:t>
      </w:r>
      <w:r>
        <w:rPr>
          <w:spacing w:val="-7"/>
        </w:rPr>
        <w:t>装难度大，整体性要求高；</w:t>
      </w:r>
    </w:p>
    <w:p w14:paraId="40E6CB67">
      <w:pPr>
        <w:pStyle w:val="2"/>
        <w:spacing w:before="226" w:line="311" w:lineRule="auto"/>
        <w:ind w:right="24" w:firstLine="601"/>
      </w:pPr>
      <w:r>
        <w:rPr>
          <w:rFonts w:ascii="Times New Roman" w:hAnsi="Times New Roman" w:eastAsia="Times New Roman" w:cs="Times New Roman"/>
          <w:spacing w:val="-3"/>
        </w:rPr>
        <w:t xml:space="preserve">3.  </w:t>
      </w:r>
      <w:r>
        <w:rPr>
          <w:spacing w:val="-3"/>
        </w:rPr>
        <w:t>机电安装专业众多，设备众多、功能复杂，管线布置密集，</w:t>
      </w:r>
      <w:r>
        <w:rPr>
          <w:spacing w:val="8"/>
        </w:rPr>
        <w:t xml:space="preserve"> </w:t>
      </w:r>
      <w:r>
        <w:rPr>
          <w:spacing w:val="-1"/>
        </w:rPr>
        <w:t>末端装置排列复杂，安装质量、进度控制难度大。智能化涵盖范围</w:t>
      </w:r>
      <w:r>
        <w:rPr>
          <w:spacing w:val="17"/>
        </w:rPr>
        <w:t xml:space="preserve"> </w:t>
      </w:r>
      <w:r>
        <w:rPr>
          <w:spacing w:val="-10"/>
        </w:rPr>
        <w:t>广，集成难度大；</w:t>
      </w:r>
    </w:p>
    <w:p w14:paraId="0428F4D9">
      <w:pPr>
        <w:pStyle w:val="2"/>
        <w:spacing w:before="225" w:line="311" w:lineRule="auto"/>
        <w:ind w:left="4" w:firstLine="589"/>
      </w:pPr>
      <w:r>
        <w:rPr>
          <w:rFonts w:ascii="Times New Roman" w:hAnsi="Times New Roman" w:eastAsia="Times New Roman" w:cs="Times New Roman"/>
          <w:spacing w:val="-2"/>
        </w:rPr>
        <w:t xml:space="preserve">4.  </w:t>
      </w:r>
      <w:r>
        <w:rPr>
          <w:spacing w:val="-2"/>
        </w:rPr>
        <w:t>工程周边存在多家施工单位，其中地铁单位、市政单位交叉</w:t>
      </w:r>
      <w:r>
        <w:rPr>
          <w:spacing w:val="10"/>
        </w:rPr>
        <w:t xml:space="preserve"> </w:t>
      </w:r>
      <w:r>
        <w:rPr>
          <w:spacing w:val="-1"/>
        </w:rPr>
        <w:t>作业多，站房内、外部施工接口繁杂，工程建设用地范围周边道路</w:t>
      </w:r>
      <w:r>
        <w:rPr>
          <w:spacing w:val="12"/>
        </w:rPr>
        <w:t xml:space="preserve"> </w:t>
      </w:r>
      <w:r>
        <w:rPr>
          <w:spacing w:val="-7"/>
        </w:rPr>
        <w:t>交通复杂，管理难度大。</w:t>
      </w:r>
    </w:p>
    <w:p w14:paraId="332A1592">
      <w:pPr>
        <w:spacing w:before="223" w:line="220" w:lineRule="auto"/>
        <w:ind w:left="60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二、施工关键技术</w:t>
      </w:r>
    </w:p>
    <w:p w14:paraId="52A41BFA">
      <w:pPr>
        <w:pStyle w:val="2"/>
        <w:spacing w:before="225" w:line="217" w:lineRule="auto"/>
        <w:ind w:left="624"/>
      </w:pPr>
      <w:r>
        <w:rPr>
          <w:rFonts w:ascii="Times New Roman" w:hAnsi="Times New Roman" w:eastAsia="Times New Roman" w:cs="Times New Roman"/>
          <w:spacing w:val="-5"/>
        </w:rPr>
        <w:t xml:space="preserve">1.  </w:t>
      </w:r>
      <w:r>
        <w:rPr>
          <w:spacing w:val="-5"/>
        </w:rPr>
        <w:t>大跨度三联拱钢结构智能同步滑移累积施工技术；</w:t>
      </w:r>
    </w:p>
    <w:p w14:paraId="024B0CF9">
      <w:pPr>
        <w:pStyle w:val="2"/>
        <w:spacing w:before="227" w:line="216" w:lineRule="auto"/>
        <w:ind w:left="595"/>
      </w:pPr>
      <w:r>
        <w:rPr>
          <w:rFonts w:ascii="Times New Roman" w:hAnsi="Times New Roman" w:eastAsia="Times New Roman" w:cs="Times New Roman"/>
          <w:spacing w:val="-4"/>
        </w:rPr>
        <w:t xml:space="preserve">2.  </w:t>
      </w:r>
      <w:r>
        <w:rPr>
          <w:spacing w:val="-4"/>
        </w:rPr>
        <w:t>室外全异形离缝超大铝板开花柱施工技术；</w:t>
      </w:r>
    </w:p>
    <w:p w14:paraId="15099B98">
      <w:pPr>
        <w:pStyle w:val="2"/>
        <w:spacing w:before="228" w:line="218" w:lineRule="auto"/>
        <w:ind w:left="601"/>
      </w:pPr>
      <w:r>
        <w:rPr>
          <w:rFonts w:ascii="Times New Roman" w:hAnsi="Times New Roman" w:eastAsia="Times New Roman" w:cs="Times New Roman"/>
          <w:spacing w:val="-4"/>
        </w:rPr>
        <w:t xml:space="preserve">3.  </w:t>
      </w:r>
      <w:r>
        <w:rPr>
          <w:spacing w:val="-4"/>
        </w:rPr>
        <w:t>室内超大拱跨全异形多联拱铝板吊顶施工技术；</w:t>
      </w:r>
    </w:p>
    <w:p w14:paraId="04AD1C38">
      <w:pPr>
        <w:pStyle w:val="2"/>
        <w:spacing w:before="227" w:line="217" w:lineRule="auto"/>
        <w:ind w:left="594"/>
      </w:pPr>
      <w:r>
        <w:rPr>
          <w:rFonts w:ascii="Times New Roman" w:hAnsi="Times New Roman" w:eastAsia="Times New Roman" w:cs="Times New Roman"/>
          <w:spacing w:val="-5"/>
        </w:rPr>
        <w:t xml:space="preserve">4.  </w:t>
      </w:r>
      <w:r>
        <w:rPr>
          <w:spacing w:val="-5"/>
        </w:rPr>
        <w:t>机房装配式集成提升施工技术；</w:t>
      </w:r>
    </w:p>
    <w:p w14:paraId="577F893E">
      <w:pPr>
        <w:pStyle w:val="2"/>
        <w:spacing w:before="228" w:line="217" w:lineRule="auto"/>
        <w:ind w:left="603"/>
      </w:pPr>
      <w:r>
        <w:rPr>
          <w:rFonts w:ascii="Times New Roman" w:hAnsi="Times New Roman" w:eastAsia="Times New Roman" w:cs="Times New Roman"/>
          <w:spacing w:val="-5"/>
        </w:rPr>
        <w:t xml:space="preserve">5.  </w:t>
      </w:r>
      <w:r>
        <w:rPr>
          <w:spacing w:val="-5"/>
        </w:rPr>
        <w:t>第二代装配式进站罩棚施工技术；</w:t>
      </w:r>
    </w:p>
    <w:p w14:paraId="2946D646">
      <w:pPr>
        <w:pStyle w:val="2"/>
        <w:spacing w:before="226" w:line="217" w:lineRule="auto"/>
        <w:ind w:left="602"/>
      </w:pPr>
      <w:r>
        <w:rPr>
          <w:rFonts w:ascii="Times New Roman" w:hAnsi="Times New Roman" w:eastAsia="Times New Roman" w:cs="Times New Roman"/>
          <w:spacing w:val="-6"/>
        </w:rPr>
        <w:t xml:space="preserve">6.  </w:t>
      </w:r>
      <w:r>
        <w:rPr>
          <w:spacing w:val="-6"/>
        </w:rPr>
        <w:t>集成风柱装配式施工技术；</w:t>
      </w:r>
    </w:p>
    <w:p w14:paraId="03BBD4BA">
      <w:pPr>
        <w:pStyle w:val="2"/>
        <w:spacing w:before="228" w:line="218" w:lineRule="auto"/>
        <w:ind w:left="600"/>
      </w:pPr>
      <w:r>
        <w:rPr>
          <w:rFonts w:ascii="Times New Roman" w:hAnsi="Times New Roman" w:eastAsia="Times New Roman" w:cs="Times New Roman"/>
          <w:spacing w:val="-5"/>
        </w:rPr>
        <w:t xml:space="preserve">7.  </w:t>
      </w:r>
      <w:r>
        <w:rPr>
          <w:spacing w:val="-5"/>
        </w:rPr>
        <w:t>装配式干挂复合铝板墙面施工技术；</w:t>
      </w:r>
    </w:p>
    <w:p w14:paraId="25E6A6D2">
      <w:pPr>
        <w:pStyle w:val="2"/>
        <w:spacing w:before="227" w:line="217" w:lineRule="auto"/>
        <w:ind w:left="607"/>
      </w:pPr>
      <w:r>
        <w:rPr>
          <w:rFonts w:ascii="Times New Roman" w:hAnsi="Times New Roman" w:eastAsia="Times New Roman" w:cs="Times New Roman"/>
          <w:spacing w:val="-5"/>
        </w:rPr>
        <w:t xml:space="preserve">8.  </w:t>
      </w:r>
      <w:r>
        <w:rPr>
          <w:spacing w:val="-5"/>
        </w:rPr>
        <w:t>钢结构智能建造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6S </w:t>
      </w:r>
      <w:r>
        <w:rPr>
          <w:spacing w:val="-5"/>
        </w:rPr>
        <w:t>技术；</w:t>
      </w:r>
    </w:p>
    <w:p w14:paraId="2E024504">
      <w:pPr>
        <w:pStyle w:val="2"/>
        <w:spacing w:before="226" w:line="217" w:lineRule="auto"/>
        <w:ind w:left="601"/>
      </w:pPr>
      <w:r>
        <w:rPr>
          <w:rFonts w:ascii="Times New Roman" w:hAnsi="Times New Roman" w:eastAsia="Times New Roman" w:cs="Times New Roman"/>
          <w:spacing w:val="-7"/>
        </w:rPr>
        <w:t xml:space="preserve">9.  </w:t>
      </w:r>
      <w:r>
        <w:rPr>
          <w:spacing w:val="-7"/>
        </w:rPr>
        <w:t>智能灯光模拟技术；</w:t>
      </w:r>
    </w:p>
    <w:p w14:paraId="19DB928B">
      <w:pPr>
        <w:pStyle w:val="2"/>
        <w:spacing w:before="227" w:line="218" w:lineRule="auto"/>
        <w:ind w:left="624"/>
      </w:pPr>
      <w:r>
        <w:rPr>
          <w:rFonts w:ascii="Times New Roman" w:hAnsi="Times New Roman" w:eastAsia="Times New Roman" w:cs="Times New Roman"/>
          <w:spacing w:val="-5"/>
        </w:rPr>
        <w:t xml:space="preserve">10.  </w:t>
      </w:r>
      <w:r>
        <w:rPr>
          <w:spacing w:val="-5"/>
        </w:rPr>
        <w:t>智慧工地结合网格化管理技术。</w:t>
      </w:r>
    </w:p>
    <w:p w14:paraId="02514772">
      <w:pPr>
        <w:pStyle w:val="2"/>
        <w:spacing w:before="227" w:line="218" w:lineRule="auto"/>
        <w:ind w:right="31"/>
        <w:jc w:val="right"/>
      </w:pPr>
      <w:r>
        <w:rPr>
          <w:spacing w:val="-1"/>
        </w:rPr>
        <w:t>南昌东站是江西省重点工程项目，是新建昌景黄铁路的</w:t>
      </w:r>
      <w:r>
        <w:rPr>
          <w:spacing w:val="-2"/>
        </w:rPr>
        <w:t>一座大</w:t>
      </w:r>
    </w:p>
    <w:p w14:paraId="525E3F20">
      <w:pPr>
        <w:spacing w:line="218" w:lineRule="auto"/>
        <w:sectPr>
          <w:footerReference r:id="rId6" w:type="default"/>
          <w:pgSz w:w="11907" w:h="16839"/>
          <w:pgMar w:top="1431" w:right="1585" w:bottom="1970" w:left="1599" w:header="0" w:footer="1699" w:gutter="0"/>
          <w:cols w:space="720" w:num="1"/>
        </w:sectPr>
      </w:pPr>
    </w:p>
    <w:p w14:paraId="387FA3A8">
      <w:pPr>
        <w:spacing w:line="375" w:lineRule="auto"/>
        <w:rPr>
          <w:rFonts w:ascii="Arial"/>
          <w:sz w:val="21"/>
        </w:rPr>
      </w:pPr>
    </w:p>
    <w:p w14:paraId="52801B65">
      <w:pPr>
        <w:pStyle w:val="2"/>
        <w:spacing w:before="98" w:line="350" w:lineRule="auto"/>
        <w:ind w:firstLine="15"/>
      </w:pPr>
      <w:r>
        <w:rPr>
          <w:spacing w:val="-1"/>
        </w:rPr>
        <w:t>型综合交通枢纽客运站。自开工以来，项目一直坚持精心、精细、</w:t>
      </w:r>
      <w:r>
        <w:rPr>
          <w:spacing w:val="3"/>
        </w:rPr>
        <w:t xml:space="preserve"> </w:t>
      </w:r>
      <w:r>
        <w:t>精致、精品的建设理念，高速度、高质量的</w:t>
      </w:r>
      <w:r>
        <w:rPr>
          <w:spacing w:val="-1"/>
        </w:rPr>
        <w:t>完成全部施工内容。建</w:t>
      </w:r>
      <w:r>
        <w:t xml:space="preserve"> </w:t>
      </w:r>
      <w:r>
        <w:rPr>
          <w:spacing w:val="-1"/>
        </w:rPr>
        <w:t>成后的南昌东站将影响和带动整个昌东片区的开发与建设，给当地</w:t>
      </w:r>
      <w:r>
        <w:rPr>
          <w:spacing w:val="18"/>
        </w:rPr>
        <w:t xml:space="preserve"> </w:t>
      </w:r>
      <w:r>
        <w:rPr>
          <w:spacing w:val="-7"/>
        </w:rPr>
        <w:t>发展注入新的活力。</w:t>
      </w:r>
    </w:p>
    <w:p w14:paraId="4562052E">
      <w:bookmarkStart w:id="0" w:name="_GoBack"/>
      <w:bookmarkEnd w:id="0"/>
    </w:p>
    <w:sectPr>
      <w:footerReference r:id="rId7" w:type="default"/>
      <w:pgSz w:w="11907" w:h="16839"/>
      <w:pgMar w:top="1431" w:right="1616" w:bottom="1966" w:left="1598" w:header="0" w:footer="16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4EE11">
    <w:pPr>
      <w:spacing w:line="169" w:lineRule="auto"/>
      <w:ind w:left="74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5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CFDF3">
    <w:pPr>
      <w:spacing w:line="172" w:lineRule="auto"/>
      <w:ind w:left="29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6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4F994">
    <w:pPr>
      <w:spacing w:line="169" w:lineRule="auto"/>
      <w:ind w:left="74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7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346E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2024-08-19T07:49:58Z</dcterms:created>
  <dc:creator>Administrator</dc:creator>
  <cp:lastModifiedBy>赵晖</cp:lastModifiedBy>
  <dcterms:modified xsi:type="dcterms:W3CDTF">2024-08-19T07:50:04Z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ECBF298EED0C437DAEABCFB529F9EBB8_12</vt:lpwstr>
  </property>
</Properties>
</file>